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D5" w:rsidRDefault="00F505D5" w:rsidP="00F505D5">
      <w:pPr>
        <w:widowControl/>
        <w:snapToGrid w:val="0"/>
        <w:spacing w:line="360" w:lineRule="auto"/>
        <w:jc w:val="center"/>
        <w:outlineLvl w:val="2"/>
        <w:rPr>
          <w:rFonts w:ascii="Arial" w:eastAsia="宋体" w:hAnsi="Arial" w:cs="Arial" w:hint="eastAsia"/>
          <w:b/>
          <w:bCs/>
          <w:color w:val="333333"/>
          <w:kern w:val="0"/>
          <w:sz w:val="33"/>
          <w:szCs w:val="33"/>
        </w:rPr>
      </w:pPr>
      <w:bookmarkStart w:id="0" w:name="_GoBack"/>
      <w:r w:rsidRPr="00F505D5">
        <w:rPr>
          <w:rFonts w:ascii="Arial" w:eastAsia="宋体" w:hAnsi="Arial" w:cs="Arial"/>
          <w:b/>
          <w:bCs/>
          <w:color w:val="333333"/>
          <w:kern w:val="0"/>
          <w:sz w:val="33"/>
          <w:szCs w:val="33"/>
        </w:rPr>
        <w:t>全日制农业推广硕士专业学位研究生指导性培养方案</w:t>
      </w:r>
      <w:bookmarkEnd w:id="0"/>
    </w:p>
    <w:p w:rsidR="00F505D5" w:rsidRPr="00F505D5" w:rsidRDefault="00F505D5" w:rsidP="00F505D5">
      <w:pPr>
        <w:widowControl/>
        <w:snapToGrid w:val="0"/>
        <w:spacing w:line="360" w:lineRule="auto"/>
        <w:jc w:val="center"/>
        <w:outlineLvl w:val="2"/>
        <w:rPr>
          <w:rFonts w:ascii="Arial" w:eastAsia="宋体" w:hAnsi="Arial" w:cs="Arial"/>
          <w:b/>
          <w:bCs/>
          <w:color w:val="333333"/>
          <w:kern w:val="0"/>
          <w:sz w:val="33"/>
          <w:szCs w:val="33"/>
        </w:rPr>
      </w:pPr>
      <w:r>
        <w:rPr>
          <w:rFonts w:ascii="Arial" w:hAnsi="Arial" w:cs="Arial"/>
          <w:color w:val="666666"/>
          <w:sz w:val="18"/>
          <w:szCs w:val="18"/>
        </w:rPr>
        <w:t>2009</w:t>
      </w:r>
      <w:r>
        <w:rPr>
          <w:rFonts w:ascii="Arial" w:hAnsi="Arial" w:cs="Arial"/>
          <w:color w:val="666666"/>
          <w:sz w:val="18"/>
          <w:szCs w:val="18"/>
        </w:rPr>
        <w:t>年</w:t>
      </w:r>
      <w:r>
        <w:rPr>
          <w:rFonts w:ascii="Arial" w:hAnsi="Arial" w:cs="Arial"/>
          <w:color w:val="666666"/>
          <w:sz w:val="18"/>
          <w:szCs w:val="18"/>
        </w:rPr>
        <w:t>05</w:t>
      </w:r>
      <w:r>
        <w:rPr>
          <w:rFonts w:ascii="Arial" w:hAnsi="Arial" w:cs="Arial"/>
          <w:color w:val="666666"/>
          <w:sz w:val="18"/>
          <w:szCs w:val="18"/>
        </w:rPr>
        <w:t>月</w:t>
      </w:r>
      <w:r>
        <w:rPr>
          <w:rFonts w:ascii="Arial" w:hAnsi="Arial" w:cs="Arial"/>
          <w:color w:val="666666"/>
          <w:sz w:val="18"/>
          <w:szCs w:val="18"/>
        </w:rPr>
        <w:t>20</w:t>
      </w:r>
      <w:r>
        <w:rPr>
          <w:rFonts w:ascii="Arial" w:hAnsi="Arial" w:cs="Arial"/>
          <w:color w:val="666666"/>
          <w:sz w:val="18"/>
          <w:szCs w:val="18"/>
        </w:rPr>
        <w:t>日</w:t>
      </w:r>
      <w:r>
        <w:rPr>
          <w:rFonts w:ascii="Arial" w:hAnsi="Arial" w:cs="Arial"/>
          <w:color w:val="666666"/>
          <w:sz w:val="18"/>
          <w:szCs w:val="18"/>
        </w:rPr>
        <w:t xml:space="preserve"> </w:t>
      </w:r>
      <w:r>
        <w:rPr>
          <w:rFonts w:ascii="Arial" w:hAnsi="Arial" w:cs="Arial"/>
          <w:color w:val="666666"/>
          <w:sz w:val="18"/>
          <w:szCs w:val="18"/>
        </w:rPr>
        <w:t>来源：中国研究生招生信息网</w:t>
      </w:r>
    </w:p>
    <w:p w:rsidR="00224663" w:rsidRPr="00F505D5" w:rsidRDefault="00F505D5" w:rsidP="006C612F">
      <w:pPr>
        <w:widowControl/>
        <w:snapToGrid w:val="0"/>
        <w:spacing w:line="360" w:lineRule="auto"/>
        <w:ind w:firstLineChars="200" w:firstLine="420"/>
        <w:rPr>
          <w:rFonts w:hint="eastAsia"/>
        </w:rPr>
      </w:pPr>
      <w:r w:rsidRPr="00F505D5">
        <w:rPr>
          <w:rFonts w:ascii="Arial" w:eastAsia="宋体" w:hAnsi="Arial" w:cs="Arial"/>
          <w:color w:val="333333"/>
          <w:kern w:val="0"/>
          <w:szCs w:val="21"/>
        </w:rPr>
        <w:t>为做好全日制农业推广硕士专业学位研究生的培养工作，确保质量，特制订《全日制农业推广硕士专业学位研究生指导性培养方案》（以下简称《指导方案》）。各培养领域协作组应在《指导方案》的基础上，根据本领域的学科特点制定具体培养方案；各培养单位应根据领域培养方案制定实施细则。</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t>一、培养目标</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农业推广（含农业、林业、牧业、渔业推广，下同）是与农业技术推广和农村发展任职资格相联系的专业学位。主要为农业技术研究、应用、开发及推广，农村发展，农业教育等企事业单位和管理部门培养具有综合职业技能的应用型、复合型高层次人才。具体要求为：</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（一）农业推广硕士专业学位获得者</w:t>
      </w:r>
      <w:proofErr w:type="gramStart"/>
      <w:r w:rsidRPr="00F505D5">
        <w:rPr>
          <w:rFonts w:ascii="Arial" w:eastAsia="宋体" w:hAnsi="Arial" w:cs="Arial"/>
          <w:color w:val="333333"/>
          <w:kern w:val="0"/>
          <w:szCs w:val="21"/>
        </w:rPr>
        <w:t>应较好</w:t>
      </w:r>
      <w:proofErr w:type="gramEnd"/>
      <w:r w:rsidRPr="00F505D5">
        <w:rPr>
          <w:rFonts w:ascii="Arial" w:eastAsia="宋体" w:hAnsi="Arial" w:cs="Arial"/>
          <w:color w:val="333333"/>
          <w:kern w:val="0"/>
          <w:szCs w:val="21"/>
        </w:rPr>
        <w:t>地掌握中国特色社会主义理论；拥护党的基本路线、方针、政策；热爱祖国，热爱农业，遵纪守法，品德良好，艰苦奋斗，求实创新，积极为我国农业现代化和农村发展服务。</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二）农业推广硕士专业学位获得者应掌握农业推广领域坚实的基础理论、系统的专业知识，以及相关的管理、人文和社会科学知识；具有较宽广的知识面，较强的专业技能和技术传授技能，具有创新意识和新型的农业推广理念，能够独立从事较高层次的农业技术推广和农村发展工作。</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（三）基本掌握一门外国语，能够阅读本领域的外文资料。</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t>二、招生对象</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主要为具有国民教育序列大学本科学历</w:t>
      </w:r>
      <w:r w:rsidRPr="00F505D5">
        <w:rPr>
          <w:rFonts w:ascii="Arial" w:eastAsia="宋体" w:hAnsi="Arial" w:cs="Arial"/>
          <w:color w:val="333333"/>
          <w:kern w:val="0"/>
          <w:szCs w:val="21"/>
        </w:rPr>
        <w:t>(</w:t>
      </w:r>
      <w:r w:rsidRPr="00F505D5">
        <w:rPr>
          <w:rFonts w:ascii="Arial" w:eastAsia="宋体" w:hAnsi="Arial" w:cs="Arial"/>
          <w:color w:val="333333"/>
          <w:kern w:val="0"/>
          <w:szCs w:val="21"/>
        </w:rPr>
        <w:t>或本科同等学力</w:t>
      </w:r>
      <w:r w:rsidRPr="00F505D5">
        <w:rPr>
          <w:rFonts w:ascii="Arial" w:eastAsia="宋体" w:hAnsi="Arial" w:cs="Arial"/>
          <w:color w:val="333333"/>
          <w:kern w:val="0"/>
          <w:szCs w:val="21"/>
        </w:rPr>
        <w:t>)</w:t>
      </w:r>
      <w:r w:rsidRPr="00F505D5">
        <w:rPr>
          <w:rFonts w:ascii="Arial" w:eastAsia="宋体" w:hAnsi="Arial" w:cs="Arial"/>
          <w:color w:val="333333"/>
          <w:kern w:val="0"/>
          <w:szCs w:val="21"/>
        </w:rPr>
        <w:t>人员。</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t>三、学习方式及年限</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采用全日制学习方式，学习年限一般为</w:t>
      </w:r>
      <w:r w:rsidRPr="00F505D5">
        <w:rPr>
          <w:rFonts w:ascii="Arial" w:eastAsia="宋体" w:hAnsi="Arial" w:cs="Arial"/>
          <w:color w:val="333333"/>
          <w:kern w:val="0"/>
          <w:szCs w:val="21"/>
        </w:rPr>
        <w:t>2</w:t>
      </w:r>
      <w:r w:rsidRPr="00F505D5">
        <w:rPr>
          <w:rFonts w:ascii="Arial" w:eastAsia="宋体" w:hAnsi="Arial" w:cs="Arial"/>
          <w:color w:val="333333"/>
          <w:kern w:val="0"/>
          <w:szCs w:val="21"/>
        </w:rPr>
        <w:t>年。</w:t>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br/>
        <w:t>    </w:t>
      </w:r>
      <w:r w:rsidRPr="00F505D5">
        <w:rPr>
          <w:rFonts w:ascii="Arial" w:eastAsia="宋体" w:hAnsi="Arial" w:cs="Arial"/>
          <w:b/>
          <w:bCs/>
          <w:color w:val="333333"/>
          <w:kern w:val="0"/>
          <w:szCs w:val="21"/>
        </w:rPr>
        <w:t>四、培养方式</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一）采取校内课程学习和校外实践研究相结合的学习方式。课程学习实行学分制，实行多学科综合、宽口径的培养方式。培养单位应建立适合不同领域专业特征的校外农业推广实践基地，鼓励采用顶岗实践的方式进行实践研究，实践研究累计不少于</w:t>
      </w:r>
      <w:r w:rsidRPr="00F505D5">
        <w:rPr>
          <w:rFonts w:ascii="Arial" w:eastAsia="宋体" w:hAnsi="Arial" w:cs="Arial"/>
          <w:color w:val="333333"/>
          <w:kern w:val="0"/>
          <w:szCs w:val="21"/>
        </w:rPr>
        <w:t>12</w:t>
      </w:r>
      <w:r w:rsidRPr="00F505D5">
        <w:rPr>
          <w:rFonts w:ascii="Arial" w:eastAsia="宋体" w:hAnsi="Arial" w:cs="Arial"/>
          <w:color w:val="333333"/>
          <w:kern w:val="0"/>
          <w:szCs w:val="21"/>
        </w:rPr>
        <w:t>个月。</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（二）学位论文实行导师负责制，鼓励由具有实践经验并有高级技术职称的校内外导师联合指导。</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t>五、课程学习及必修环节</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农业推广硕士专业学位的课程应根据培养目标要求，按领域设置，突出专业技能及技术集成能力的培养。教学内容应体现宽广性、综合性、实用性和前沿性。加强案例教学和实践教学，在领域主干课中应有</w:t>
      </w:r>
      <w:r w:rsidRPr="00F505D5">
        <w:rPr>
          <w:rFonts w:ascii="Arial" w:eastAsia="宋体" w:hAnsi="Arial" w:cs="Arial"/>
          <w:color w:val="333333"/>
          <w:kern w:val="0"/>
          <w:szCs w:val="21"/>
        </w:rPr>
        <w:t>1</w:t>
      </w:r>
      <w:r w:rsidRPr="00F505D5">
        <w:rPr>
          <w:rFonts w:ascii="Arial" w:eastAsia="宋体" w:hAnsi="Arial" w:cs="Arial"/>
          <w:color w:val="333333"/>
          <w:kern w:val="0"/>
          <w:szCs w:val="21"/>
        </w:rPr>
        <w:t>门运用本领域的主要理论和技术解决农业推广实践问题的案例研究课程；在学期间必须保证不少于</w:t>
      </w:r>
      <w:r w:rsidRPr="00F505D5">
        <w:rPr>
          <w:rFonts w:ascii="Arial" w:eastAsia="宋体" w:hAnsi="Arial" w:cs="Arial"/>
          <w:color w:val="333333"/>
          <w:kern w:val="0"/>
          <w:szCs w:val="21"/>
        </w:rPr>
        <w:t>12</w:t>
      </w:r>
      <w:r w:rsidRPr="00F505D5">
        <w:rPr>
          <w:rFonts w:ascii="Arial" w:eastAsia="宋体" w:hAnsi="Arial" w:cs="Arial"/>
          <w:color w:val="333333"/>
          <w:kern w:val="0"/>
          <w:szCs w:val="21"/>
        </w:rPr>
        <w:t>个月的实习实践训练。</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同等学力或跨专业攻读农业推广硕士专业学位的研究生，应补修相关领域本科阶段的主干课程</w:t>
      </w:r>
      <w:r w:rsidRPr="00F505D5">
        <w:rPr>
          <w:rFonts w:ascii="Arial" w:eastAsia="宋体" w:hAnsi="Arial" w:cs="Arial"/>
          <w:color w:val="333333"/>
          <w:kern w:val="0"/>
          <w:szCs w:val="21"/>
        </w:rPr>
        <w:t>2</w:t>
      </w:r>
      <w:r w:rsidRPr="00F505D5">
        <w:rPr>
          <w:rFonts w:ascii="Arial" w:eastAsia="宋体" w:hAnsi="Arial" w:cs="Arial"/>
          <w:color w:val="333333"/>
          <w:kern w:val="0"/>
          <w:szCs w:val="21"/>
        </w:rPr>
        <w:t>～</w:t>
      </w:r>
      <w:r w:rsidRPr="00F505D5">
        <w:rPr>
          <w:rFonts w:ascii="Arial" w:eastAsia="宋体" w:hAnsi="Arial" w:cs="Arial"/>
          <w:color w:val="333333"/>
          <w:kern w:val="0"/>
          <w:szCs w:val="21"/>
        </w:rPr>
        <w:t>3</w:t>
      </w:r>
      <w:r w:rsidRPr="00F505D5">
        <w:rPr>
          <w:rFonts w:ascii="Arial" w:eastAsia="宋体" w:hAnsi="Arial" w:cs="Arial"/>
          <w:color w:val="333333"/>
          <w:kern w:val="0"/>
          <w:szCs w:val="21"/>
        </w:rPr>
        <w:t>门，成绩不计入总学分。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各领域结合自身特点和课程设置框架确定具体课程，安排校外实践研究和必修环节等。</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课程设置框架如下：</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（一）公共课（</w:t>
      </w:r>
      <w:r w:rsidRPr="00F505D5">
        <w:rPr>
          <w:rFonts w:ascii="Arial" w:eastAsia="宋体" w:hAnsi="Arial" w:cs="Arial"/>
          <w:color w:val="333333"/>
          <w:kern w:val="0"/>
          <w:szCs w:val="21"/>
        </w:rPr>
        <w:t>10</w:t>
      </w:r>
      <w:r w:rsidRPr="00F505D5">
        <w:rPr>
          <w:rFonts w:ascii="Arial" w:eastAsia="宋体" w:hAnsi="Arial" w:cs="Arial"/>
          <w:color w:val="333333"/>
          <w:kern w:val="0"/>
          <w:szCs w:val="21"/>
        </w:rPr>
        <w:t>～</w:t>
      </w:r>
      <w:r w:rsidRPr="00F505D5">
        <w:rPr>
          <w:rFonts w:ascii="Arial" w:eastAsia="宋体" w:hAnsi="Arial" w:cs="Arial"/>
          <w:color w:val="333333"/>
          <w:kern w:val="0"/>
          <w:szCs w:val="21"/>
        </w:rPr>
        <w:t>12</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1</w:t>
      </w:r>
      <w:r w:rsidRPr="00F505D5">
        <w:rPr>
          <w:rFonts w:ascii="Arial" w:eastAsia="宋体" w:hAnsi="Arial" w:cs="Arial"/>
          <w:color w:val="333333"/>
          <w:kern w:val="0"/>
          <w:szCs w:val="21"/>
        </w:rPr>
        <w:t>、政治理论课（</w:t>
      </w:r>
      <w:r w:rsidRPr="00F505D5">
        <w:rPr>
          <w:rFonts w:ascii="Arial" w:eastAsia="宋体" w:hAnsi="Arial" w:cs="Arial"/>
          <w:color w:val="333333"/>
          <w:kern w:val="0"/>
          <w:szCs w:val="21"/>
        </w:rPr>
        <w:t>2</w:t>
      </w:r>
      <w:r w:rsidRPr="00F505D5">
        <w:rPr>
          <w:rFonts w:ascii="Arial" w:eastAsia="宋体" w:hAnsi="Arial" w:cs="Arial"/>
          <w:color w:val="333333"/>
          <w:kern w:val="0"/>
          <w:szCs w:val="21"/>
        </w:rPr>
        <w:t>～</w:t>
      </w:r>
      <w:r w:rsidRPr="00F505D5">
        <w:rPr>
          <w:rFonts w:ascii="Arial" w:eastAsia="宋体" w:hAnsi="Arial" w:cs="Arial"/>
          <w:color w:val="333333"/>
          <w:kern w:val="0"/>
          <w:szCs w:val="21"/>
        </w:rPr>
        <w:t>3</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2</w:t>
      </w:r>
      <w:r w:rsidRPr="00F505D5">
        <w:rPr>
          <w:rFonts w:ascii="Arial" w:eastAsia="宋体" w:hAnsi="Arial" w:cs="Arial"/>
          <w:color w:val="333333"/>
          <w:kern w:val="0"/>
          <w:szCs w:val="21"/>
        </w:rPr>
        <w:t>、外国语（</w:t>
      </w:r>
      <w:r w:rsidRPr="00F505D5">
        <w:rPr>
          <w:rFonts w:ascii="Arial" w:eastAsia="宋体" w:hAnsi="Arial" w:cs="Arial"/>
          <w:color w:val="333333"/>
          <w:kern w:val="0"/>
          <w:szCs w:val="21"/>
        </w:rPr>
        <w:t>2</w:t>
      </w:r>
      <w:r w:rsidRPr="00F505D5">
        <w:rPr>
          <w:rFonts w:ascii="Arial" w:eastAsia="宋体" w:hAnsi="Arial" w:cs="Arial"/>
          <w:color w:val="333333"/>
          <w:kern w:val="0"/>
          <w:szCs w:val="21"/>
        </w:rPr>
        <w:t>～</w:t>
      </w:r>
      <w:r w:rsidRPr="00F505D5">
        <w:rPr>
          <w:rFonts w:ascii="Arial" w:eastAsia="宋体" w:hAnsi="Arial" w:cs="Arial"/>
          <w:color w:val="333333"/>
          <w:kern w:val="0"/>
          <w:szCs w:val="21"/>
        </w:rPr>
        <w:t>3</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3</w:t>
      </w:r>
      <w:r w:rsidRPr="00F505D5">
        <w:rPr>
          <w:rFonts w:ascii="Arial" w:eastAsia="宋体" w:hAnsi="Arial" w:cs="Arial"/>
          <w:color w:val="333333"/>
          <w:kern w:val="0"/>
          <w:szCs w:val="21"/>
        </w:rPr>
        <w:t>、农业推广理论与实践（</w:t>
      </w:r>
      <w:r w:rsidRPr="00F505D5">
        <w:rPr>
          <w:rFonts w:ascii="Arial" w:eastAsia="宋体" w:hAnsi="Arial" w:cs="Arial"/>
          <w:color w:val="333333"/>
          <w:kern w:val="0"/>
          <w:szCs w:val="21"/>
        </w:rPr>
        <w:t>2</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4</w:t>
      </w:r>
      <w:r w:rsidRPr="00F505D5">
        <w:rPr>
          <w:rFonts w:ascii="Arial" w:eastAsia="宋体" w:hAnsi="Arial" w:cs="Arial"/>
          <w:color w:val="333333"/>
          <w:kern w:val="0"/>
          <w:szCs w:val="21"/>
        </w:rPr>
        <w:t>、农业科技与</w:t>
      </w:r>
      <w:r w:rsidRPr="00F505D5">
        <w:rPr>
          <w:rFonts w:ascii="Arial" w:eastAsia="宋体" w:hAnsi="Arial" w:cs="Arial"/>
          <w:color w:val="333333"/>
          <w:kern w:val="0"/>
          <w:szCs w:val="21"/>
        </w:rPr>
        <w:t>“</w:t>
      </w:r>
      <w:r w:rsidRPr="00F505D5">
        <w:rPr>
          <w:rFonts w:ascii="Arial" w:eastAsia="宋体" w:hAnsi="Arial" w:cs="Arial"/>
          <w:color w:val="333333"/>
          <w:kern w:val="0"/>
          <w:szCs w:val="21"/>
        </w:rPr>
        <w:t>三农</w:t>
      </w:r>
      <w:r w:rsidRPr="00F505D5">
        <w:rPr>
          <w:rFonts w:ascii="Arial" w:eastAsia="宋体" w:hAnsi="Arial" w:cs="Arial"/>
          <w:color w:val="333333"/>
          <w:kern w:val="0"/>
          <w:szCs w:val="21"/>
        </w:rPr>
        <w:t>”</w:t>
      </w:r>
      <w:r w:rsidRPr="00F505D5">
        <w:rPr>
          <w:rFonts w:ascii="Arial" w:eastAsia="宋体" w:hAnsi="Arial" w:cs="Arial"/>
          <w:color w:val="333333"/>
          <w:kern w:val="0"/>
          <w:szCs w:val="21"/>
        </w:rPr>
        <w:t>政策（</w:t>
      </w:r>
      <w:r w:rsidRPr="00F505D5">
        <w:rPr>
          <w:rFonts w:ascii="Arial" w:eastAsia="宋体" w:hAnsi="Arial" w:cs="Arial"/>
          <w:color w:val="333333"/>
          <w:kern w:val="0"/>
          <w:szCs w:val="21"/>
        </w:rPr>
        <w:t>2</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5</w:t>
      </w:r>
      <w:r w:rsidRPr="00F505D5">
        <w:rPr>
          <w:rFonts w:ascii="Arial" w:eastAsia="宋体" w:hAnsi="Arial" w:cs="Arial"/>
          <w:color w:val="333333"/>
          <w:kern w:val="0"/>
          <w:szCs w:val="21"/>
        </w:rPr>
        <w:t>、农业传播技术与应用（</w:t>
      </w:r>
      <w:r w:rsidRPr="00F505D5">
        <w:rPr>
          <w:rFonts w:ascii="Arial" w:eastAsia="宋体" w:hAnsi="Arial" w:cs="Arial"/>
          <w:color w:val="333333"/>
          <w:kern w:val="0"/>
          <w:szCs w:val="21"/>
        </w:rPr>
        <w:t>2</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（二）领域主干课（</w:t>
      </w:r>
      <w:r w:rsidRPr="00F505D5">
        <w:rPr>
          <w:rFonts w:ascii="Arial" w:eastAsia="宋体" w:hAnsi="Arial" w:cs="Arial"/>
          <w:color w:val="333333"/>
          <w:kern w:val="0"/>
          <w:szCs w:val="21"/>
        </w:rPr>
        <w:t>8</w:t>
      </w:r>
      <w:r w:rsidRPr="00F505D5">
        <w:rPr>
          <w:rFonts w:ascii="Arial" w:eastAsia="宋体" w:hAnsi="Arial" w:cs="Arial"/>
          <w:color w:val="333333"/>
          <w:kern w:val="0"/>
          <w:szCs w:val="21"/>
        </w:rPr>
        <w:t>～</w:t>
      </w:r>
      <w:r w:rsidRPr="00F505D5">
        <w:rPr>
          <w:rFonts w:ascii="Arial" w:eastAsia="宋体" w:hAnsi="Arial" w:cs="Arial"/>
          <w:color w:val="333333"/>
          <w:kern w:val="0"/>
          <w:szCs w:val="21"/>
        </w:rPr>
        <w:t>10</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每个领域设置</w:t>
      </w:r>
      <w:r w:rsidRPr="00F505D5">
        <w:rPr>
          <w:rFonts w:ascii="Arial" w:eastAsia="宋体" w:hAnsi="Arial" w:cs="Arial"/>
          <w:color w:val="333333"/>
          <w:kern w:val="0"/>
          <w:szCs w:val="21"/>
        </w:rPr>
        <w:t>4</w:t>
      </w:r>
      <w:r w:rsidRPr="00F505D5">
        <w:rPr>
          <w:rFonts w:ascii="Arial" w:eastAsia="宋体" w:hAnsi="Arial" w:cs="Arial"/>
          <w:color w:val="333333"/>
          <w:kern w:val="0"/>
          <w:szCs w:val="21"/>
        </w:rPr>
        <w:t>～</w:t>
      </w:r>
      <w:r w:rsidRPr="00F505D5">
        <w:rPr>
          <w:rFonts w:ascii="Arial" w:eastAsia="宋体" w:hAnsi="Arial" w:cs="Arial"/>
          <w:color w:val="333333"/>
          <w:kern w:val="0"/>
          <w:szCs w:val="21"/>
        </w:rPr>
        <w:t>6</w:t>
      </w:r>
      <w:r w:rsidRPr="00F505D5">
        <w:rPr>
          <w:rFonts w:ascii="Arial" w:eastAsia="宋体" w:hAnsi="Arial" w:cs="Arial"/>
          <w:color w:val="333333"/>
          <w:kern w:val="0"/>
          <w:szCs w:val="21"/>
        </w:rPr>
        <w:t>门专业课程，其中有</w:t>
      </w:r>
      <w:r w:rsidRPr="00F505D5">
        <w:rPr>
          <w:rFonts w:ascii="Arial" w:eastAsia="宋体" w:hAnsi="Arial" w:cs="Arial"/>
          <w:color w:val="333333"/>
          <w:kern w:val="0"/>
          <w:szCs w:val="21"/>
        </w:rPr>
        <w:t>1</w:t>
      </w:r>
      <w:r w:rsidRPr="00F505D5">
        <w:rPr>
          <w:rFonts w:ascii="Arial" w:eastAsia="宋体" w:hAnsi="Arial" w:cs="Arial"/>
          <w:color w:val="333333"/>
          <w:kern w:val="0"/>
          <w:szCs w:val="21"/>
        </w:rPr>
        <w:t>门案例研究课程。设置要求由各领域协作组确定。</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（三）选修课（</w:t>
      </w:r>
      <w:r w:rsidRPr="00F505D5">
        <w:rPr>
          <w:rFonts w:ascii="Arial" w:eastAsia="宋体" w:hAnsi="Arial" w:cs="Arial"/>
          <w:color w:val="333333"/>
          <w:kern w:val="0"/>
          <w:szCs w:val="21"/>
        </w:rPr>
        <w:t>6</w:t>
      </w:r>
      <w:r w:rsidRPr="00F505D5">
        <w:rPr>
          <w:rFonts w:ascii="Arial" w:eastAsia="宋体" w:hAnsi="Arial" w:cs="Arial"/>
          <w:color w:val="333333"/>
          <w:kern w:val="0"/>
          <w:szCs w:val="21"/>
        </w:rPr>
        <w:t>～</w:t>
      </w:r>
      <w:r w:rsidRPr="00F505D5">
        <w:rPr>
          <w:rFonts w:ascii="Arial" w:eastAsia="宋体" w:hAnsi="Arial" w:cs="Arial"/>
          <w:color w:val="333333"/>
          <w:kern w:val="0"/>
          <w:szCs w:val="21"/>
        </w:rPr>
        <w:t>8</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由各培养单位根据培养目标、研究生的工作需要和各校条件自行确定。每门课程原则上不超过</w:t>
      </w:r>
      <w:r w:rsidRPr="00F505D5">
        <w:rPr>
          <w:rFonts w:ascii="Arial" w:eastAsia="宋体" w:hAnsi="Arial" w:cs="Arial"/>
          <w:color w:val="333333"/>
          <w:kern w:val="0"/>
          <w:szCs w:val="21"/>
        </w:rPr>
        <w:t>32</w:t>
      </w:r>
      <w:r w:rsidRPr="00F505D5">
        <w:rPr>
          <w:rFonts w:ascii="Arial" w:eastAsia="宋体" w:hAnsi="Arial" w:cs="Arial"/>
          <w:color w:val="333333"/>
          <w:kern w:val="0"/>
          <w:szCs w:val="21"/>
        </w:rPr>
        <w:t>学时。</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（四）校外实践研究（</w:t>
      </w:r>
      <w:r w:rsidRPr="00F505D5">
        <w:rPr>
          <w:rFonts w:ascii="Arial" w:eastAsia="宋体" w:hAnsi="Arial" w:cs="Arial"/>
          <w:color w:val="333333"/>
          <w:kern w:val="0"/>
          <w:szCs w:val="21"/>
        </w:rPr>
        <w:t>6</w:t>
      </w:r>
      <w:r w:rsidRPr="00F505D5">
        <w:rPr>
          <w:rFonts w:ascii="Arial" w:eastAsia="宋体" w:hAnsi="Arial" w:cs="Arial"/>
          <w:color w:val="333333"/>
          <w:kern w:val="0"/>
          <w:szCs w:val="21"/>
        </w:rPr>
        <w:t>学分）</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全日制农业推广硕士专业学位研究生必须从事不少于</w:t>
      </w:r>
      <w:r w:rsidRPr="00F505D5">
        <w:rPr>
          <w:rFonts w:ascii="Arial" w:eastAsia="宋体" w:hAnsi="Arial" w:cs="Arial"/>
          <w:color w:val="333333"/>
          <w:kern w:val="0"/>
          <w:szCs w:val="21"/>
        </w:rPr>
        <w:t>12</w:t>
      </w:r>
      <w:r w:rsidRPr="00F505D5">
        <w:rPr>
          <w:rFonts w:ascii="Arial" w:eastAsia="宋体" w:hAnsi="Arial" w:cs="Arial"/>
          <w:color w:val="333333"/>
          <w:kern w:val="0"/>
          <w:szCs w:val="21"/>
        </w:rPr>
        <w:t>个月的农业推广实践，并结合实践进行论文研究工作。实践研究的综合表现考核通过者取得相应学分。</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（五）必修环节</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必修环节应包括制定培养计划、开题报告、中期考核、论文中期报告（或文献阅读、实践报告）等。各培养领域可以根据本领域的特点确定其他的必修环节</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t>六、学位论文</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（一）论文选题应服务于农业、农村、农民和生态环境建设，论文要有一定的技术难度、先进性和工作量，能体现作者综合运用科学理论、方法和技术手段解决农业技术推广、农业和农村等问题的能力。</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（二）论文形式可以是研究论文、项目（产品）设计、调研报告等。</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（三）评审与答辩</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学位论文的评审应着重考查作者综合运用科学理论、方法和技术手段解决农业技术推广、农业和农村实际问题的能力；审查学位论文工作的技术难度和工作量。</w:t>
      </w:r>
      <w:r w:rsidRPr="00F505D5">
        <w:rPr>
          <w:rFonts w:ascii="Arial" w:eastAsia="宋体" w:hAnsi="Arial" w:cs="Arial"/>
          <w:color w:val="333333"/>
          <w:kern w:val="0"/>
          <w:szCs w:val="21"/>
        </w:rPr>
        <w:t xml:space="preserve">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攻读农业推广硕士专业学位研究生必须完成培养方案中规定的所有环节，成绩合格，方可申请参加学位论文答辩。</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学位论文应至少有</w:t>
      </w:r>
      <w:r w:rsidRPr="00F505D5">
        <w:rPr>
          <w:rFonts w:ascii="Arial" w:eastAsia="宋体" w:hAnsi="Arial" w:cs="Arial"/>
          <w:color w:val="333333"/>
          <w:kern w:val="0"/>
          <w:szCs w:val="21"/>
        </w:rPr>
        <w:t>2</w:t>
      </w:r>
      <w:r w:rsidRPr="00F505D5">
        <w:rPr>
          <w:rFonts w:ascii="Arial" w:eastAsia="宋体" w:hAnsi="Arial" w:cs="Arial"/>
          <w:color w:val="333333"/>
          <w:kern w:val="0"/>
          <w:szCs w:val="21"/>
        </w:rPr>
        <w:t>名具有副高级以上专业技术职称的专家评阅，其中应有来自实际工作部门的专家。答辩委员会应由</w:t>
      </w:r>
      <w:r w:rsidRPr="00F505D5">
        <w:rPr>
          <w:rFonts w:ascii="Arial" w:eastAsia="宋体" w:hAnsi="Arial" w:cs="Arial"/>
          <w:color w:val="333333"/>
          <w:kern w:val="0"/>
          <w:szCs w:val="21"/>
        </w:rPr>
        <w:t>3</w:t>
      </w:r>
      <w:r w:rsidRPr="00F505D5">
        <w:rPr>
          <w:rFonts w:ascii="Arial" w:eastAsia="宋体" w:hAnsi="Arial" w:cs="Arial"/>
          <w:color w:val="333333"/>
          <w:kern w:val="0"/>
          <w:szCs w:val="21"/>
        </w:rPr>
        <w:t>～</w:t>
      </w:r>
      <w:r w:rsidRPr="00F505D5">
        <w:rPr>
          <w:rFonts w:ascii="Arial" w:eastAsia="宋体" w:hAnsi="Arial" w:cs="Arial"/>
          <w:color w:val="333333"/>
          <w:kern w:val="0"/>
          <w:szCs w:val="21"/>
        </w:rPr>
        <w:t>5</w:t>
      </w:r>
      <w:r w:rsidRPr="00F505D5">
        <w:rPr>
          <w:rFonts w:ascii="Arial" w:eastAsia="宋体" w:hAnsi="Arial" w:cs="Arial"/>
          <w:color w:val="333333"/>
          <w:kern w:val="0"/>
          <w:szCs w:val="21"/>
        </w:rPr>
        <w:t>位专家组成。导师可参加答辩会议，但不得担任答辩委员会委员。</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r>
      <w:r w:rsidRPr="00F505D5">
        <w:rPr>
          <w:rFonts w:ascii="Arial" w:eastAsia="宋体" w:hAnsi="Arial" w:cs="Arial"/>
          <w:b/>
          <w:bCs/>
          <w:color w:val="333333"/>
          <w:kern w:val="0"/>
          <w:szCs w:val="21"/>
        </w:rPr>
        <w:t>    </w:t>
      </w:r>
      <w:r w:rsidRPr="00F505D5">
        <w:rPr>
          <w:rFonts w:ascii="Arial" w:eastAsia="宋体" w:hAnsi="Arial" w:cs="Arial"/>
          <w:b/>
          <w:bCs/>
          <w:color w:val="333333"/>
          <w:kern w:val="0"/>
          <w:szCs w:val="21"/>
        </w:rPr>
        <w:t>七、学位授予</w:t>
      </w:r>
      <w:r w:rsidRPr="00F505D5">
        <w:rPr>
          <w:rFonts w:ascii="Arial" w:eastAsia="宋体" w:hAnsi="Arial" w:cs="Arial"/>
          <w:color w:val="333333"/>
          <w:kern w:val="0"/>
          <w:szCs w:val="21"/>
        </w:rPr>
        <w:t>    </w:t>
      </w:r>
      <w:r w:rsidRPr="00F505D5">
        <w:rPr>
          <w:rFonts w:ascii="Arial" w:eastAsia="宋体" w:hAnsi="Arial" w:cs="Arial"/>
          <w:color w:val="333333"/>
          <w:kern w:val="0"/>
          <w:szCs w:val="21"/>
        </w:rPr>
        <w:br/>
        <w:t>    </w:t>
      </w:r>
      <w:r w:rsidRPr="00F505D5">
        <w:rPr>
          <w:rFonts w:ascii="Arial" w:eastAsia="宋体" w:hAnsi="Arial" w:cs="Arial"/>
          <w:color w:val="333333"/>
          <w:kern w:val="0"/>
          <w:szCs w:val="21"/>
        </w:rPr>
        <w:t>完成课程学习及实习实践环节，取得规定学分，并通过学位论文答辩者，经学位授予单位学位评定委员会审核，授予农业推广硕士专业学位，同时获得硕士研究生毕业证书。</w:t>
      </w:r>
    </w:p>
    <w:sectPr w:rsidR="00224663" w:rsidRPr="00F50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301"/>
    <w:multiLevelType w:val="multilevel"/>
    <w:tmpl w:val="26A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A78B0"/>
    <w:multiLevelType w:val="multilevel"/>
    <w:tmpl w:val="752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9F1373"/>
    <w:multiLevelType w:val="multilevel"/>
    <w:tmpl w:val="CD9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653B98"/>
    <w:multiLevelType w:val="multilevel"/>
    <w:tmpl w:val="F396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66173"/>
    <w:multiLevelType w:val="multilevel"/>
    <w:tmpl w:val="AA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48"/>
    <w:rsid w:val="00224663"/>
    <w:rsid w:val="006C612F"/>
    <w:rsid w:val="00A35B48"/>
    <w:rsid w:val="00F5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5D5"/>
    <w:rPr>
      <w:strike w:val="0"/>
      <w:dstrike w:val="0"/>
      <w:color w:val="056BC9"/>
      <w:u w:val="none"/>
      <w:effect w:val="none"/>
    </w:rPr>
  </w:style>
  <w:style w:type="character" w:styleId="a4">
    <w:name w:val="Strong"/>
    <w:basedOn w:val="a0"/>
    <w:uiPriority w:val="22"/>
    <w:qFormat/>
    <w:rsid w:val="00F505D5"/>
    <w:rPr>
      <w:b/>
      <w:bCs/>
    </w:rPr>
  </w:style>
  <w:style w:type="paragraph" w:styleId="z-">
    <w:name w:val="HTML Top of Form"/>
    <w:basedOn w:val="a"/>
    <w:next w:val="a"/>
    <w:link w:val="z-Char"/>
    <w:hidden/>
    <w:uiPriority w:val="99"/>
    <w:semiHidden/>
    <w:unhideWhenUsed/>
    <w:rsid w:val="00F505D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505D5"/>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F505D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F505D5"/>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5D5"/>
    <w:rPr>
      <w:strike w:val="0"/>
      <w:dstrike w:val="0"/>
      <w:color w:val="056BC9"/>
      <w:u w:val="none"/>
      <w:effect w:val="none"/>
    </w:rPr>
  </w:style>
  <w:style w:type="character" w:styleId="a4">
    <w:name w:val="Strong"/>
    <w:basedOn w:val="a0"/>
    <w:uiPriority w:val="22"/>
    <w:qFormat/>
    <w:rsid w:val="00F505D5"/>
    <w:rPr>
      <w:b/>
      <w:bCs/>
    </w:rPr>
  </w:style>
  <w:style w:type="paragraph" w:styleId="z-">
    <w:name w:val="HTML Top of Form"/>
    <w:basedOn w:val="a"/>
    <w:next w:val="a"/>
    <w:link w:val="z-Char"/>
    <w:hidden/>
    <w:uiPriority w:val="99"/>
    <w:semiHidden/>
    <w:unhideWhenUsed/>
    <w:rsid w:val="00F505D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505D5"/>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F505D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F505D5"/>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2960">
      <w:marLeft w:val="0"/>
      <w:marRight w:val="0"/>
      <w:marTop w:val="150"/>
      <w:marBottom w:val="0"/>
      <w:divBdr>
        <w:top w:val="single" w:sz="18" w:space="0" w:color="006699"/>
        <w:left w:val="single" w:sz="6" w:space="0" w:color="CCCCCC"/>
        <w:bottom w:val="single" w:sz="6" w:space="0" w:color="CCCCCC"/>
        <w:right w:val="single" w:sz="6" w:space="0" w:color="CCCCCC"/>
      </w:divBdr>
      <w:divsChild>
        <w:div w:id="903950198">
          <w:marLeft w:val="150"/>
          <w:marRight w:val="150"/>
          <w:marTop w:val="75"/>
          <w:marBottom w:val="0"/>
          <w:divBdr>
            <w:top w:val="none" w:sz="0" w:space="0" w:color="auto"/>
            <w:left w:val="none" w:sz="0" w:space="0" w:color="auto"/>
            <w:bottom w:val="none" w:sz="0" w:space="0" w:color="auto"/>
            <w:right w:val="none" w:sz="0" w:space="0" w:color="auto"/>
          </w:divBdr>
        </w:div>
        <w:div w:id="1082219149">
          <w:marLeft w:val="150"/>
          <w:marRight w:val="150"/>
          <w:marTop w:val="0"/>
          <w:marBottom w:val="0"/>
          <w:divBdr>
            <w:top w:val="none" w:sz="0" w:space="0" w:color="auto"/>
            <w:left w:val="none" w:sz="0" w:space="0" w:color="auto"/>
            <w:bottom w:val="none" w:sz="0" w:space="0" w:color="auto"/>
            <w:right w:val="none" w:sz="0" w:space="0" w:color="auto"/>
          </w:divBdr>
          <w:divsChild>
            <w:div w:id="653533898">
              <w:marLeft w:val="150"/>
              <w:marRight w:val="150"/>
              <w:marTop w:val="150"/>
              <w:marBottom w:val="150"/>
              <w:divBdr>
                <w:top w:val="none" w:sz="0" w:space="0" w:color="auto"/>
                <w:left w:val="none" w:sz="0" w:space="0" w:color="auto"/>
                <w:bottom w:val="dotted" w:sz="6" w:space="0" w:color="AAD5FF"/>
                <w:right w:val="none" w:sz="0" w:space="0" w:color="auto"/>
              </w:divBdr>
            </w:div>
          </w:divsChild>
        </w:div>
      </w:divsChild>
    </w:div>
    <w:div w:id="418448073">
      <w:marLeft w:val="75"/>
      <w:marRight w:val="75"/>
      <w:marTop w:val="0"/>
      <w:marBottom w:val="0"/>
      <w:divBdr>
        <w:top w:val="none" w:sz="0" w:space="0" w:color="auto"/>
        <w:left w:val="none" w:sz="0" w:space="0" w:color="auto"/>
        <w:bottom w:val="none" w:sz="0" w:space="0" w:color="auto"/>
        <w:right w:val="none" w:sz="0" w:space="0" w:color="auto"/>
      </w:divBdr>
      <w:divsChild>
        <w:div w:id="1936402642">
          <w:marLeft w:val="0"/>
          <w:marRight w:val="0"/>
          <w:marTop w:val="0"/>
          <w:marBottom w:val="0"/>
          <w:divBdr>
            <w:top w:val="none" w:sz="0" w:space="0" w:color="auto"/>
            <w:left w:val="none" w:sz="0" w:space="0" w:color="auto"/>
            <w:bottom w:val="none" w:sz="0" w:space="0" w:color="auto"/>
            <w:right w:val="none" w:sz="0" w:space="0" w:color="auto"/>
          </w:divBdr>
          <w:divsChild>
            <w:div w:id="820463954">
              <w:marLeft w:val="0"/>
              <w:marRight w:val="0"/>
              <w:marTop w:val="150"/>
              <w:marBottom w:val="0"/>
              <w:divBdr>
                <w:top w:val="single" w:sz="18" w:space="0" w:color="4B8ECB"/>
                <w:left w:val="single" w:sz="6" w:space="9" w:color="CCCCCC"/>
                <w:bottom w:val="single" w:sz="6" w:space="0" w:color="CCCCCC"/>
                <w:right w:val="single" w:sz="6" w:space="9" w:color="CCCCCC"/>
              </w:divBdr>
              <w:divsChild>
                <w:div w:id="1670325452">
                  <w:marLeft w:val="0"/>
                  <w:marRight w:val="0"/>
                  <w:marTop w:val="0"/>
                  <w:marBottom w:val="0"/>
                  <w:divBdr>
                    <w:top w:val="dotted" w:sz="6" w:space="8" w:color="333333"/>
                    <w:left w:val="none" w:sz="0" w:space="0" w:color="auto"/>
                    <w:bottom w:val="none" w:sz="0" w:space="0" w:color="auto"/>
                    <w:right w:val="none" w:sz="0" w:space="0" w:color="auto"/>
                  </w:divBdr>
                </w:div>
              </w:divsChild>
            </w:div>
          </w:divsChild>
        </w:div>
      </w:divsChild>
    </w:div>
    <w:div w:id="1317143870">
      <w:marLeft w:val="0"/>
      <w:marRight w:val="0"/>
      <w:marTop w:val="150"/>
      <w:marBottom w:val="0"/>
      <w:divBdr>
        <w:top w:val="single" w:sz="18" w:space="0" w:color="006699"/>
        <w:left w:val="single" w:sz="6" w:space="0" w:color="CCCCCC"/>
        <w:bottom w:val="single" w:sz="6" w:space="0" w:color="CCCCCC"/>
        <w:right w:val="single" w:sz="6" w:space="0" w:color="CCCCCC"/>
      </w:divBdr>
      <w:divsChild>
        <w:div w:id="1818717039">
          <w:marLeft w:val="150"/>
          <w:marRight w:val="150"/>
          <w:marTop w:val="75"/>
          <w:marBottom w:val="0"/>
          <w:divBdr>
            <w:top w:val="none" w:sz="0" w:space="0" w:color="auto"/>
            <w:left w:val="none" w:sz="0" w:space="0" w:color="auto"/>
            <w:bottom w:val="none" w:sz="0" w:space="0" w:color="auto"/>
            <w:right w:val="none" w:sz="0" w:space="0" w:color="auto"/>
          </w:divBdr>
        </w:div>
        <w:div w:id="1660158508">
          <w:marLeft w:val="150"/>
          <w:marRight w:val="150"/>
          <w:marTop w:val="0"/>
          <w:marBottom w:val="0"/>
          <w:divBdr>
            <w:top w:val="none" w:sz="0" w:space="0" w:color="auto"/>
            <w:left w:val="none" w:sz="0" w:space="0" w:color="auto"/>
            <w:bottom w:val="none" w:sz="0" w:space="0" w:color="auto"/>
            <w:right w:val="none" w:sz="0" w:space="0" w:color="auto"/>
          </w:divBdr>
        </w:div>
      </w:divsChild>
    </w:div>
    <w:div w:id="1455370606">
      <w:marLeft w:val="0"/>
      <w:marRight w:val="0"/>
      <w:marTop w:val="150"/>
      <w:marBottom w:val="0"/>
      <w:divBdr>
        <w:top w:val="single" w:sz="18" w:space="0" w:color="006699"/>
        <w:left w:val="single" w:sz="6" w:space="0" w:color="CCCCCC"/>
        <w:bottom w:val="single" w:sz="6" w:space="0" w:color="CCCCCC"/>
        <w:right w:val="single" w:sz="6" w:space="0" w:color="CCCCCC"/>
      </w:divBdr>
      <w:divsChild>
        <w:div w:id="1585608492">
          <w:marLeft w:val="150"/>
          <w:marRight w:val="150"/>
          <w:marTop w:val="75"/>
          <w:marBottom w:val="0"/>
          <w:divBdr>
            <w:top w:val="none" w:sz="0" w:space="0" w:color="auto"/>
            <w:left w:val="none" w:sz="0" w:space="0" w:color="auto"/>
            <w:bottom w:val="none" w:sz="0" w:space="0" w:color="auto"/>
            <w:right w:val="none" w:sz="0" w:space="0" w:color="auto"/>
          </w:divBdr>
        </w:div>
        <w:div w:id="518158890">
          <w:marLeft w:val="150"/>
          <w:marRight w:val="150"/>
          <w:marTop w:val="0"/>
          <w:marBottom w:val="0"/>
          <w:divBdr>
            <w:top w:val="none" w:sz="0" w:space="0" w:color="auto"/>
            <w:left w:val="none" w:sz="0" w:space="0" w:color="auto"/>
            <w:bottom w:val="none" w:sz="0" w:space="0" w:color="auto"/>
            <w:right w:val="none" w:sz="0" w:space="0" w:color="auto"/>
          </w:divBdr>
          <w:divsChild>
            <w:div w:id="525095714">
              <w:marLeft w:val="150"/>
              <w:marRight w:val="150"/>
              <w:marTop w:val="150"/>
              <w:marBottom w:val="150"/>
              <w:divBdr>
                <w:top w:val="none" w:sz="0" w:space="0" w:color="auto"/>
                <w:left w:val="none" w:sz="0" w:space="0" w:color="auto"/>
                <w:bottom w:val="dotted" w:sz="6" w:space="0" w:color="AAD5FF"/>
                <w:right w:val="none" w:sz="0" w:space="0" w:color="auto"/>
              </w:divBdr>
            </w:div>
          </w:divsChild>
        </w:div>
      </w:divsChild>
    </w:div>
    <w:div w:id="1972469421">
      <w:bodyDiv w:val="1"/>
      <w:marLeft w:val="0"/>
      <w:marRight w:val="0"/>
      <w:marTop w:val="0"/>
      <w:marBottom w:val="0"/>
      <w:divBdr>
        <w:top w:val="none" w:sz="0" w:space="0" w:color="auto"/>
        <w:left w:val="none" w:sz="0" w:space="0" w:color="auto"/>
        <w:bottom w:val="none" w:sz="0" w:space="0" w:color="auto"/>
        <w:right w:val="none" w:sz="0" w:space="0" w:color="auto"/>
      </w:divBdr>
      <w:divsChild>
        <w:div w:id="261452991">
          <w:marLeft w:val="0"/>
          <w:marRight w:val="0"/>
          <w:marTop w:val="150"/>
          <w:marBottom w:val="0"/>
          <w:divBdr>
            <w:top w:val="none" w:sz="0" w:space="0" w:color="auto"/>
            <w:left w:val="none" w:sz="0" w:space="0" w:color="auto"/>
            <w:bottom w:val="none" w:sz="0" w:space="0" w:color="auto"/>
            <w:right w:val="none" w:sz="0" w:space="0" w:color="auto"/>
          </w:divBdr>
          <w:divsChild>
            <w:div w:id="613483874">
              <w:marLeft w:val="75"/>
              <w:marRight w:val="75"/>
              <w:marTop w:val="0"/>
              <w:marBottom w:val="0"/>
              <w:divBdr>
                <w:top w:val="none" w:sz="0" w:space="0" w:color="auto"/>
                <w:left w:val="none" w:sz="0" w:space="0" w:color="auto"/>
                <w:bottom w:val="none" w:sz="0" w:space="0" w:color="auto"/>
                <w:right w:val="none" w:sz="0" w:space="0" w:color="auto"/>
              </w:divBdr>
              <w:divsChild>
                <w:div w:id="164514412">
                  <w:marLeft w:val="0"/>
                  <w:marRight w:val="0"/>
                  <w:marTop w:val="0"/>
                  <w:marBottom w:val="0"/>
                  <w:divBdr>
                    <w:top w:val="none" w:sz="0" w:space="0" w:color="auto"/>
                    <w:left w:val="none" w:sz="0" w:space="0" w:color="auto"/>
                    <w:bottom w:val="none" w:sz="0" w:space="0" w:color="auto"/>
                    <w:right w:val="none" w:sz="0" w:space="0" w:color="auto"/>
                  </w:divBdr>
                  <w:divsChild>
                    <w:div w:id="1815680479">
                      <w:marLeft w:val="0"/>
                      <w:marRight w:val="0"/>
                      <w:marTop w:val="150"/>
                      <w:marBottom w:val="0"/>
                      <w:divBdr>
                        <w:top w:val="single" w:sz="18" w:space="0" w:color="4B8ECB"/>
                        <w:left w:val="single" w:sz="6" w:space="9" w:color="CCCCCC"/>
                        <w:bottom w:val="single" w:sz="6" w:space="0" w:color="CCCCCC"/>
                        <w:right w:val="single" w:sz="6" w:space="9" w:color="CCCCCC"/>
                      </w:divBdr>
                      <w:divsChild>
                        <w:div w:id="556205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325</Words>
  <Characters>1855</Characters>
  <Application>Microsoft Office Word</Application>
  <DocSecurity>0</DocSecurity>
  <Lines>15</Lines>
  <Paragraphs>4</Paragraphs>
  <ScaleCrop>false</ScaleCrop>
  <Company>Lenovo (Beijing) Limited</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李静茹</dc:creator>
  <cp:keywords/>
  <dc:description/>
  <cp:lastModifiedBy>陈禹娜</cp:lastModifiedBy>
  <cp:revision>5</cp:revision>
  <dcterms:created xsi:type="dcterms:W3CDTF">2014-12-11T02:40:00Z</dcterms:created>
  <dcterms:modified xsi:type="dcterms:W3CDTF">2014-12-11T02:43:00Z</dcterms:modified>
</cp:coreProperties>
</file>